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544D" w14:textId="282F008D" w:rsidR="00EF6A53" w:rsidRPr="00B6798E" w:rsidRDefault="0092130B" w:rsidP="00B6798E">
      <w:pPr>
        <w:rPr>
          <w:lang w:val="es-DO"/>
        </w:rPr>
      </w:pPr>
      <w:r>
        <w:rPr>
          <w:lang w:val="es-DO"/>
        </w:rPr>
        <w:t>Octubre- No hay relación de consulta pública en octubre 2023</w:t>
      </w:r>
    </w:p>
    <w:sectPr w:rsidR="00EF6A53" w:rsidRPr="00B6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4"/>
    <w:rsid w:val="00176023"/>
    <w:rsid w:val="005A327D"/>
    <w:rsid w:val="006C1A7E"/>
    <w:rsid w:val="00791FD8"/>
    <w:rsid w:val="0092130B"/>
    <w:rsid w:val="00B17C54"/>
    <w:rsid w:val="00B6798E"/>
    <w:rsid w:val="00EF6A53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5D51"/>
  <w15:chartTrackingRefBased/>
  <w15:docId w15:val="{6AE0048E-83F4-44DF-9917-1E356FF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6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2023-11-10T14:03:00Z</dcterms:created>
  <dcterms:modified xsi:type="dcterms:W3CDTF">2023-11-10T14:03:00Z</dcterms:modified>
</cp:coreProperties>
</file>